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5" w:rsidRDefault="00233425" w:rsidP="00233425">
      <w:pPr>
        <w:spacing w:after="0" w:line="240" w:lineRule="auto"/>
        <w:contextualSpacing/>
        <w:rPr>
          <w:sz w:val="24"/>
          <w:szCs w:val="24"/>
        </w:rPr>
      </w:pPr>
    </w:p>
    <w:p w:rsidR="00233425" w:rsidRDefault="004B32F6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recent heat wave finally broke and the morning dawned somewhat cooler and </w:t>
      </w:r>
      <w:r w:rsidR="002F3DBD">
        <w:rPr>
          <w:sz w:val="24"/>
          <w:szCs w:val="24"/>
        </w:rPr>
        <w:t>slightly</w:t>
      </w:r>
      <w:r>
        <w:rPr>
          <w:sz w:val="24"/>
          <w:szCs w:val="24"/>
        </w:rPr>
        <w:t xml:space="preserve"> crisper </w:t>
      </w:r>
      <w:r w:rsidR="00F02E30">
        <w:rPr>
          <w:sz w:val="24"/>
          <w:szCs w:val="24"/>
        </w:rPr>
        <w:t>(</w:t>
      </w:r>
      <w:r w:rsidR="00F02E30">
        <w:rPr>
          <w:sz w:val="24"/>
          <w:szCs w:val="24"/>
        </w:rPr>
        <w:t>at least compared to last month!</w:t>
      </w:r>
      <w:r w:rsidR="00F02E3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at the September </w:t>
      </w:r>
      <w:r>
        <w:rPr>
          <w:sz w:val="24"/>
          <w:szCs w:val="24"/>
        </w:rPr>
        <w:t>Rimfire Sporter Match</w:t>
      </w:r>
      <w:r>
        <w:rPr>
          <w:sz w:val="24"/>
          <w:szCs w:val="24"/>
        </w:rPr>
        <w:t xml:space="preserve"> at </w:t>
      </w:r>
      <w:r w:rsidR="00016676">
        <w:rPr>
          <w:sz w:val="24"/>
          <w:szCs w:val="24"/>
        </w:rPr>
        <w:t>Sanner’s Lake</w:t>
      </w:r>
      <w:r w:rsidR="00F02E30">
        <w:rPr>
          <w:sz w:val="24"/>
          <w:szCs w:val="24"/>
        </w:rPr>
        <w:t xml:space="preserve">. 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turnout was light </w:t>
      </w:r>
      <w:r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the action was heavy </w:t>
      </w:r>
      <w:r>
        <w:rPr>
          <w:sz w:val="24"/>
          <w:szCs w:val="24"/>
        </w:rPr>
        <w:t xml:space="preserve">as several interesting rifles </w:t>
      </w:r>
      <w:r w:rsidR="001A7EDE">
        <w:rPr>
          <w:sz w:val="24"/>
          <w:szCs w:val="24"/>
        </w:rPr>
        <w:t xml:space="preserve">made an appearance on the </w:t>
      </w:r>
      <w:r w:rsidR="00F02E30">
        <w:rPr>
          <w:sz w:val="24"/>
          <w:szCs w:val="24"/>
        </w:rPr>
        <w:t xml:space="preserve">firing </w:t>
      </w:r>
      <w:r w:rsidR="001A7EDE">
        <w:rPr>
          <w:sz w:val="24"/>
          <w:szCs w:val="24"/>
        </w:rPr>
        <w:t xml:space="preserve">line.  Joe Mund </w:t>
      </w:r>
      <w:r w:rsidR="00F02E30">
        <w:rPr>
          <w:sz w:val="24"/>
          <w:szCs w:val="24"/>
        </w:rPr>
        <w:t xml:space="preserve">and his </w:t>
      </w:r>
      <w:r w:rsidR="001A7EDE">
        <w:rPr>
          <w:sz w:val="24"/>
          <w:szCs w:val="24"/>
        </w:rPr>
        <w:t xml:space="preserve">classically </w:t>
      </w:r>
      <w:r w:rsidR="00CA68A0">
        <w:rPr>
          <w:sz w:val="24"/>
          <w:szCs w:val="24"/>
        </w:rPr>
        <w:t>stylish</w:t>
      </w:r>
      <w:bookmarkStart w:id="0" w:name="_GoBack"/>
      <w:bookmarkEnd w:id="0"/>
      <w:r w:rsidR="001A7EDE">
        <w:rPr>
          <w:sz w:val="24"/>
          <w:szCs w:val="24"/>
        </w:rPr>
        <w:t xml:space="preserve"> </w:t>
      </w:r>
      <w:proofErr w:type="spellStart"/>
      <w:r w:rsidR="001A7EDE">
        <w:rPr>
          <w:sz w:val="24"/>
          <w:szCs w:val="24"/>
        </w:rPr>
        <w:t>Steyr</w:t>
      </w:r>
      <w:proofErr w:type="spellEnd"/>
      <w:r w:rsidR="001A7EDE">
        <w:rPr>
          <w:sz w:val="24"/>
          <w:szCs w:val="24"/>
        </w:rPr>
        <w:t xml:space="preserve"> Zephyr came out of the gate blazing with a killer prone slow score and kept the pressure on throughout the remain</w:t>
      </w:r>
      <w:r w:rsidR="00F02E30">
        <w:rPr>
          <w:sz w:val="24"/>
          <w:szCs w:val="24"/>
        </w:rPr>
        <w:t>in</w:t>
      </w:r>
      <w:r w:rsidR="001A7EDE">
        <w:rPr>
          <w:sz w:val="24"/>
          <w:szCs w:val="24"/>
        </w:rPr>
        <w:t>g strings for a strong second place finish.  Greg Banta, on the other hand, misheard “sporter” as “sporting” and brought his modern sporting rifle for this match...oops.  B</w:t>
      </w:r>
      <w:r w:rsidR="00AE7635">
        <w:rPr>
          <w:sz w:val="24"/>
          <w:szCs w:val="24"/>
        </w:rPr>
        <w:t xml:space="preserve">ut </w:t>
      </w:r>
      <w:r w:rsidR="001A7EDE">
        <w:rPr>
          <w:sz w:val="24"/>
          <w:szCs w:val="24"/>
        </w:rPr>
        <w:t xml:space="preserve">being </w:t>
      </w:r>
      <w:r w:rsidR="00AE7635">
        <w:rPr>
          <w:sz w:val="24"/>
          <w:szCs w:val="24"/>
        </w:rPr>
        <w:t xml:space="preserve">a </w:t>
      </w:r>
      <w:r w:rsidR="001A7EDE">
        <w:rPr>
          <w:sz w:val="24"/>
          <w:szCs w:val="24"/>
        </w:rPr>
        <w:t>goo</w:t>
      </w:r>
      <w:r w:rsidR="00AE7635">
        <w:rPr>
          <w:sz w:val="24"/>
          <w:szCs w:val="24"/>
        </w:rPr>
        <w:t xml:space="preserve">d sport he elected to </w:t>
      </w:r>
      <w:r w:rsidR="001A7EDE">
        <w:rPr>
          <w:sz w:val="24"/>
          <w:szCs w:val="24"/>
        </w:rPr>
        <w:t xml:space="preserve">shoot the course of fire </w:t>
      </w:r>
      <w:r w:rsidR="00AE7635">
        <w:rPr>
          <w:sz w:val="24"/>
          <w:szCs w:val="24"/>
        </w:rPr>
        <w:t>anyway</w:t>
      </w:r>
      <w:r w:rsidR="00F02E30">
        <w:rPr>
          <w:sz w:val="24"/>
          <w:szCs w:val="24"/>
        </w:rPr>
        <w:t xml:space="preserve"> </w:t>
      </w:r>
      <w:r w:rsidR="001A7EDE">
        <w:rPr>
          <w:sz w:val="24"/>
          <w:szCs w:val="24"/>
        </w:rPr>
        <w:t>and q</w:t>
      </w:r>
      <w:r w:rsidR="00F02E30">
        <w:rPr>
          <w:sz w:val="24"/>
          <w:szCs w:val="24"/>
        </w:rPr>
        <w:t xml:space="preserve">uickly found out that while </w:t>
      </w:r>
      <w:r w:rsidR="00AE7635">
        <w:rPr>
          <w:sz w:val="24"/>
          <w:szCs w:val="24"/>
        </w:rPr>
        <w:t>the AR</w:t>
      </w:r>
      <w:r w:rsidR="00F02E30">
        <w:rPr>
          <w:sz w:val="24"/>
          <w:szCs w:val="24"/>
        </w:rPr>
        <w:t xml:space="preserve"> </w:t>
      </w:r>
      <w:r w:rsidR="001A7EDE">
        <w:rPr>
          <w:sz w:val="24"/>
          <w:szCs w:val="24"/>
        </w:rPr>
        <w:t>shoots like a laser</w:t>
      </w:r>
      <w:r w:rsidR="00F02E30">
        <w:rPr>
          <w:sz w:val="24"/>
          <w:szCs w:val="24"/>
        </w:rPr>
        <w:t>,</w:t>
      </w:r>
      <w:r w:rsidR="001A7EDE">
        <w:rPr>
          <w:sz w:val="24"/>
          <w:szCs w:val="24"/>
        </w:rPr>
        <w:t xml:space="preserve"> the somewhat higher recoil </w:t>
      </w:r>
      <w:r w:rsidR="00F02E30">
        <w:rPr>
          <w:sz w:val="24"/>
          <w:szCs w:val="24"/>
        </w:rPr>
        <w:t xml:space="preserve">of a .223 </w:t>
      </w:r>
      <w:r w:rsidR="001A7EDE">
        <w:rPr>
          <w:sz w:val="24"/>
          <w:szCs w:val="24"/>
        </w:rPr>
        <w:t>requires more careful management</w:t>
      </w:r>
      <w:r w:rsidR="00F02E30">
        <w:rPr>
          <w:sz w:val="24"/>
          <w:szCs w:val="24"/>
        </w:rPr>
        <w:t xml:space="preserve"> as compared to a .22LR</w:t>
      </w:r>
      <w:r w:rsidR="001A7EDE">
        <w:rPr>
          <w:sz w:val="24"/>
          <w:szCs w:val="24"/>
        </w:rPr>
        <w:t xml:space="preserve">, especially during the </w:t>
      </w:r>
      <w:r w:rsidR="00AE7635">
        <w:rPr>
          <w:sz w:val="24"/>
          <w:szCs w:val="24"/>
        </w:rPr>
        <w:t xml:space="preserve">standing and </w:t>
      </w:r>
      <w:r w:rsidR="001A7EDE">
        <w:rPr>
          <w:sz w:val="24"/>
          <w:szCs w:val="24"/>
        </w:rPr>
        <w:t xml:space="preserve">rapid fire strings!  See all the scores and details below.  </w:t>
      </w:r>
      <w:r w:rsidR="00DE7B1A">
        <w:rPr>
          <w:sz w:val="24"/>
          <w:szCs w:val="24"/>
        </w:rPr>
        <w:t xml:space="preserve"> </w:t>
      </w:r>
      <w:r w:rsidR="00F02E30">
        <w:rPr>
          <w:sz w:val="24"/>
          <w:szCs w:val="24"/>
        </w:rPr>
        <w:t xml:space="preserve">Our next match </w:t>
      </w:r>
      <w:r w:rsidR="00BD6D72">
        <w:rPr>
          <w:sz w:val="24"/>
          <w:szCs w:val="24"/>
        </w:rPr>
        <w:t xml:space="preserve">will be on </w:t>
      </w:r>
      <w:r w:rsidR="00CE39A0">
        <w:rPr>
          <w:sz w:val="24"/>
          <w:szCs w:val="24"/>
        </w:rPr>
        <w:t>October 14</w:t>
      </w:r>
      <w:r w:rsidR="00AF6617" w:rsidRPr="00F02E30">
        <w:rPr>
          <w:sz w:val="24"/>
          <w:szCs w:val="24"/>
          <w:vertAlign w:val="superscript"/>
        </w:rPr>
        <w:t>th</w:t>
      </w:r>
      <w:r w:rsidR="00F02E30">
        <w:rPr>
          <w:sz w:val="24"/>
          <w:szCs w:val="24"/>
        </w:rPr>
        <w:t xml:space="preserve"> which will be the last match of the year </w:t>
      </w:r>
      <w:r w:rsidR="00CE39A0">
        <w:rPr>
          <w:sz w:val="24"/>
          <w:szCs w:val="24"/>
        </w:rPr>
        <w:t xml:space="preserve">so </w:t>
      </w:r>
      <w:r w:rsidR="00F02E30">
        <w:rPr>
          <w:sz w:val="24"/>
          <w:szCs w:val="24"/>
        </w:rPr>
        <w:t>don’t miss out on the fun...</w:t>
      </w:r>
      <w:r w:rsidR="00CE39A0">
        <w:rPr>
          <w:sz w:val="24"/>
          <w:szCs w:val="24"/>
        </w:rPr>
        <w:t xml:space="preserve">grab your (rimfire) rifle and </w:t>
      </w:r>
      <w:r w:rsidR="00F02E30">
        <w:rPr>
          <w:sz w:val="24"/>
          <w:szCs w:val="24"/>
        </w:rPr>
        <w:t xml:space="preserve">join us on the line!  </w:t>
      </w:r>
    </w:p>
    <w:p w:rsidR="00233425" w:rsidRDefault="00233425" w:rsidP="00233425">
      <w:pPr>
        <w:spacing w:after="0" w:line="240" w:lineRule="auto"/>
        <w:contextualSpacing/>
        <w:rPr>
          <w:sz w:val="24"/>
          <w:szCs w:val="24"/>
        </w:rPr>
      </w:pPr>
    </w:p>
    <w:p w:rsidR="00233425" w:rsidRDefault="000839BA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b/>
        </w:rPr>
        <w:t>Scores</w:t>
      </w:r>
      <w:r w:rsidRPr="000839BA">
        <w:rPr>
          <w:b/>
        </w:rPr>
        <w:t>:</w:t>
      </w:r>
      <w:r w:rsidR="004147E0" w:rsidRPr="00BF513F">
        <w:rPr>
          <w:sz w:val="24"/>
          <w:szCs w:val="24"/>
        </w:rPr>
        <w:t xml:space="preserve">  </w:t>
      </w:r>
    </w:p>
    <w:p w:rsidR="00024066" w:rsidRPr="006D7842" w:rsidRDefault="00780A1C" w:rsidP="0023342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30C10" w:rsidRPr="005E6538" w:rsidRDefault="000E4728" w:rsidP="00233425">
      <w:pPr>
        <w:tabs>
          <w:tab w:val="left" w:pos="0"/>
          <w:tab w:val="left" w:pos="13410"/>
        </w:tabs>
        <w:spacing w:after="0" w:line="240" w:lineRule="auto"/>
        <w:ind w:left="-270" w:right="-270"/>
        <w:contextualSpacing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5E6538">
        <w:rPr>
          <w:sz w:val="20"/>
          <w:szCs w:val="20"/>
        </w:rPr>
        <w:t xml:space="preserve">CMP B-19 </w:t>
      </w:r>
      <w:r w:rsidR="005E6538" w:rsidRPr="005E6538">
        <w:rPr>
          <w:sz w:val="20"/>
          <w:szCs w:val="20"/>
        </w:rPr>
        <w:t xml:space="preserve">Target </w:t>
      </w:r>
      <w:r w:rsidR="005E6538" w:rsidRPr="005E6538">
        <w:rPr>
          <w:sz w:val="20"/>
          <w:szCs w:val="20"/>
        </w:rPr>
        <w:tab/>
      </w:r>
      <w:r w:rsidR="005E6538">
        <w:rPr>
          <w:sz w:val="20"/>
          <w:szCs w:val="20"/>
        </w:rPr>
        <w:t>50/25</w:t>
      </w:r>
      <w:r w:rsidR="005E6538" w:rsidRPr="005E6538">
        <w:rPr>
          <w:sz w:val="20"/>
          <w:szCs w:val="20"/>
        </w:rPr>
        <w:t>yards</w:t>
      </w:r>
    </w:p>
    <w:tbl>
      <w:tblPr>
        <w:tblStyle w:val="TableGrid"/>
        <w:tblW w:w="0" w:type="auto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24"/>
        <w:gridCol w:w="2142"/>
        <w:gridCol w:w="810"/>
        <w:gridCol w:w="850"/>
        <w:gridCol w:w="768"/>
        <w:gridCol w:w="331"/>
        <w:gridCol w:w="808"/>
        <w:gridCol w:w="331"/>
        <w:gridCol w:w="857"/>
        <w:gridCol w:w="331"/>
        <w:gridCol w:w="857"/>
        <w:gridCol w:w="331"/>
        <w:gridCol w:w="1091"/>
        <w:gridCol w:w="331"/>
        <w:gridCol w:w="1064"/>
        <w:gridCol w:w="360"/>
        <w:gridCol w:w="720"/>
        <w:gridCol w:w="576"/>
      </w:tblGrid>
      <w:tr w:rsidR="007C563D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#</w:t>
            </w:r>
          </w:p>
        </w:tc>
        <w:tc>
          <w:tcPr>
            <w:tcW w:w="182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Name</w:t>
            </w:r>
          </w:p>
        </w:tc>
        <w:tc>
          <w:tcPr>
            <w:tcW w:w="2142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Rifle</w:t>
            </w:r>
          </w:p>
        </w:tc>
        <w:tc>
          <w:tcPr>
            <w:tcW w:w="81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Action</w:t>
            </w:r>
          </w:p>
        </w:tc>
        <w:tc>
          <w:tcPr>
            <w:tcW w:w="85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Sights</w:t>
            </w:r>
          </w:p>
        </w:tc>
        <w:tc>
          <w:tcPr>
            <w:tcW w:w="76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08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Prone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857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Sitting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9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Slow</w:t>
            </w:r>
          </w:p>
        </w:tc>
        <w:tc>
          <w:tcPr>
            <w:tcW w:w="331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1064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Standing</w:t>
            </w:r>
          </w:p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Rapid</w:t>
            </w:r>
          </w:p>
        </w:tc>
        <w:tc>
          <w:tcPr>
            <w:tcW w:w="360" w:type="dxa"/>
            <w:vAlign w:val="center"/>
          </w:tcPr>
          <w:p w:rsidR="007C563D" w:rsidRPr="006477DC" w:rsidRDefault="007C563D" w:rsidP="007C563D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Total</w:t>
            </w:r>
          </w:p>
        </w:tc>
        <w:tc>
          <w:tcPr>
            <w:tcW w:w="576" w:type="dxa"/>
            <w:vAlign w:val="center"/>
          </w:tcPr>
          <w:p w:rsidR="007C563D" w:rsidRPr="006477DC" w:rsidRDefault="007C563D" w:rsidP="00EC07D4">
            <w:pPr>
              <w:pStyle w:val="NoSpacing"/>
              <w:jc w:val="center"/>
              <w:rPr>
                <w:b/>
              </w:rPr>
            </w:pPr>
            <w:r w:rsidRPr="006477DC">
              <w:rPr>
                <w:b/>
              </w:rPr>
              <w:t>X</w:t>
            </w:r>
          </w:p>
        </w:tc>
      </w:tr>
      <w:tr w:rsidR="001A53E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1A53E9" w:rsidRPr="001A53E9" w:rsidRDefault="001A53E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142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53E9">
              <w:rPr>
                <w:color w:val="000000"/>
                <w:sz w:val="24"/>
                <w:szCs w:val="24"/>
              </w:rPr>
              <w:t>TacSol</w:t>
            </w:r>
            <w:proofErr w:type="spellEnd"/>
            <w:r w:rsidRPr="001A53E9">
              <w:rPr>
                <w:color w:val="000000"/>
                <w:sz w:val="24"/>
                <w:szCs w:val="24"/>
              </w:rPr>
              <w:t xml:space="preserve"> 10/22</w:t>
            </w:r>
          </w:p>
        </w:tc>
        <w:tc>
          <w:tcPr>
            <w:tcW w:w="81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1A53E9" w:rsidRPr="001A53E9" w:rsidRDefault="001A53E9">
            <w:pPr>
              <w:jc w:val="center"/>
              <w:rPr>
                <w:sz w:val="24"/>
                <w:szCs w:val="24"/>
              </w:rPr>
            </w:pPr>
            <w:r w:rsidRPr="001A53E9">
              <w:rPr>
                <w:sz w:val="24"/>
                <w:szCs w:val="24"/>
              </w:rPr>
              <w:t>99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sz w:val="24"/>
                <w:szCs w:val="24"/>
              </w:rPr>
            </w:pPr>
            <w:r w:rsidRPr="001A53E9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A53E9" w:rsidRPr="00C43F88" w:rsidRDefault="001A53E9">
            <w:pPr>
              <w:jc w:val="center"/>
              <w:rPr>
                <w:bCs/>
                <w:sz w:val="24"/>
                <w:szCs w:val="24"/>
              </w:rPr>
            </w:pPr>
            <w:r w:rsidRPr="00C43F8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1A53E9" w:rsidRPr="00C43F88" w:rsidRDefault="001A53E9">
            <w:pPr>
              <w:jc w:val="center"/>
              <w:rPr>
                <w:bCs/>
                <w:sz w:val="24"/>
                <w:szCs w:val="24"/>
              </w:rPr>
            </w:pPr>
            <w:r w:rsidRPr="00C43F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A53E9" w:rsidRPr="001A53E9" w:rsidRDefault="001A53E9">
            <w:pPr>
              <w:jc w:val="center"/>
              <w:rPr>
                <w:sz w:val="24"/>
                <w:szCs w:val="24"/>
              </w:rPr>
            </w:pPr>
            <w:r w:rsidRPr="001A53E9">
              <w:rPr>
                <w:sz w:val="24"/>
                <w:szCs w:val="24"/>
              </w:rPr>
              <w:t>585</w:t>
            </w:r>
          </w:p>
        </w:tc>
        <w:tc>
          <w:tcPr>
            <w:tcW w:w="576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A53E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1A53E9" w:rsidRPr="001A53E9" w:rsidRDefault="001A53E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Joe Mund</w:t>
            </w:r>
          </w:p>
        </w:tc>
        <w:tc>
          <w:tcPr>
            <w:tcW w:w="2142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53E9">
              <w:rPr>
                <w:color w:val="000000"/>
                <w:sz w:val="24"/>
                <w:szCs w:val="24"/>
              </w:rPr>
              <w:t>Steyr</w:t>
            </w:r>
            <w:proofErr w:type="spellEnd"/>
            <w:r w:rsidRPr="001A53E9">
              <w:rPr>
                <w:color w:val="000000"/>
                <w:sz w:val="24"/>
                <w:szCs w:val="24"/>
              </w:rPr>
              <w:t xml:space="preserve"> Zephyr</w:t>
            </w:r>
          </w:p>
        </w:tc>
        <w:tc>
          <w:tcPr>
            <w:tcW w:w="810" w:type="dxa"/>
            <w:vAlign w:val="center"/>
          </w:tcPr>
          <w:p w:rsidR="001A53E9" w:rsidRPr="001A53E9" w:rsidRDefault="001A53E9" w:rsidP="003747FD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Bolt</w:t>
            </w:r>
          </w:p>
        </w:tc>
        <w:tc>
          <w:tcPr>
            <w:tcW w:w="850" w:type="dxa"/>
            <w:vAlign w:val="center"/>
          </w:tcPr>
          <w:p w:rsidR="001A53E9" w:rsidRPr="001A53E9" w:rsidRDefault="001A53E9" w:rsidP="003747FD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576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A53E9" w:rsidRPr="00A907BF" w:rsidTr="00BF393B">
        <w:trPr>
          <w:trHeight w:val="20"/>
          <w:jc w:val="center"/>
        </w:trPr>
        <w:tc>
          <w:tcPr>
            <w:tcW w:w="450" w:type="dxa"/>
            <w:vAlign w:val="center"/>
          </w:tcPr>
          <w:p w:rsidR="001A53E9" w:rsidRPr="001A53E9" w:rsidRDefault="001A53E9" w:rsidP="00EC07D4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142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AR-15</w:t>
            </w:r>
          </w:p>
        </w:tc>
        <w:tc>
          <w:tcPr>
            <w:tcW w:w="810" w:type="dxa"/>
            <w:vAlign w:val="center"/>
          </w:tcPr>
          <w:p w:rsidR="001A53E9" w:rsidRPr="001A53E9" w:rsidRDefault="001A53E9" w:rsidP="003747FD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Semi</w:t>
            </w:r>
          </w:p>
        </w:tc>
        <w:tc>
          <w:tcPr>
            <w:tcW w:w="850" w:type="dxa"/>
            <w:vAlign w:val="center"/>
          </w:tcPr>
          <w:p w:rsidR="001A53E9" w:rsidRPr="001A53E9" w:rsidRDefault="001A53E9" w:rsidP="003747FD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76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576" w:type="dxa"/>
            <w:vAlign w:val="center"/>
          </w:tcPr>
          <w:p w:rsidR="001A53E9" w:rsidRPr="001A53E9" w:rsidRDefault="001A53E9">
            <w:pPr>
              <w:jc w:val="center"/>
              <w:rPr>
                <w:color w:val="000000"/>
                <w:sz w:val="24"/>
                <w:szCs w:val="24"/>
              </w:rPr>
            </w:pPr>
            <w:r w:rsidRPr="001A53E9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E602F" w:rsidRDefault="00F94E50" w:rsidP="00F94E50">
      <w:pPr>
        <w:tabs>
          <w:tab w:val="left" w:pos="0"/>
          <w:tab w:val="left" w:pos="1260"/>
        </w:tabs>
        <w:ind w:left="-27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130C10">
        <w:rPr>
          <w:sz w:val="20"/>
          <w:szCs w:val="20"/>
        </w:rPr>
        <w:t>600</w:t>
      </w:r>
      <w:r>
        <w:rPr>
          <w:sz w:val="20"/>
          <w:szCs w:val="20"/>
        </w:rPr>
        <w:t xml:space="preserve"> total </w:t>
      </w:r>
      <w:r w:rsidR="00130C10" w:rsidRPr="00A233EA">
        <w:rPr>
          <w:sz w:val="20"/>
          <w:szCs w:val="20"/>
        </w:rPr>
        <w:t xml:space="preserve">points possible.  </w:t>
      </w:r>
      <w:proofErr w:type="gramStart"/>
      <w:r w:rsidR="00130C10">
        <w:rPr>
          <w:rFonts w:eastAsia="Times New Roman" w:cs="Times New Roman"/>
          <w:color w:val="000000"/>
          <w:sz w:val="20"/>
          <w:szCs w:val="20"/>
        </w:rPr>
        <w:t>Ties broken by X count</w:t>
      </w:r>
      <w:r w:rsidR="007C563D">
        <w:rPr>
          <w:rFonts w:eastAsia="Times New Roman" w:cs="Times New Roman"/>
          <w:color w:val="000000"/>
          <w:sz w:val="20"/>
          <w:szCs w:val="20"/>
        </w:rPr>
        <w:t>, then by highest standing rapid score.</w:t>
      </w:r>
      <w:proofErr w:type="gramEnd"/>
    </w:p>
    <w:p w:rsidR="000839BA" w:rsidRDefault="00104490" w:rsidP="001B17B6">
      <w:pPr>
        <w:tabs>
          <w:tab w:val="left" w:pos="0"/>
          <w:tab w:val="left" w:pos="1260"/>
        </w:tabs>
        <w:ind w:left="-270" w:right="-27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7B04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C26E1A">
        <w:rPr>
          <w:rFonts w:eastAsia="Times New Roman" w:cs="Times New Roman"/>
          <w:color w:val="000000"/>
          <w:sz w:val="20"/>
          <w:szCs w:val="20"/>
        </w:rPr>
        <w:t xml:space="preserve">      </w:t>
      </w:r>
    </w:p>
    <w:p w:rsidR="00DD57D3" w:rsidRPr="000839BA" w:rsidRDefault="00D4170D" w:rsidP="000839BA">
      <w:pPr>
        <w:tabs>
          <w:tab w:val="left" w:pos="0"/>
          <w:tab w:val="left" w:pos="1260"/>
        </w:tabs>
        <w:ind w:left="-90" w:right="-270"/>
        <w:rPr>
          <w:rFonts w:eastAsia="Times New Roman" w:cs="Times New Roman"/>
          <w:b/>
          <w:color w:val="000000"/>
          <w:sz w:val="20"/>
          <w:szCs w:val="20"/>
        </w:rPr>
      </w:pPr>
      <w:r w:rsidRPr="000839BA">
        <w:rPr>
          <w:b/>
        </w:rPr>
        <w:t>Notes</w:t>
      </w:r>
      <w:r w:rsidR="00DD57D3" w:rsidRPr="000839BA">
        <w:rPr>
          <w:b/>
        </w:rPr>
        <w:t>:</w:t>
      </w:r>
    </w:p>
    <w:p w:rsidR="00C40220" w:rsidRPr="000839BA" w:rsidRDefault="00DD57D3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1 = prone slow</w:t>
      </w:r>
      <w:r w:rsidR="00E945BF" w:rsidRPr="000839BA">
        <w:t xml:space="preserve"> </w:t>
      </w:r>
      <w:r w:rsidRPr="000839BA">
        <w:t>fire, 10 shots in 10 minutes</w:t>
      </w:r>
      <w:r w:rsidR="00874EC4">
        <w:t xml:space="preserve">.  </w:t>
      </w:r>
      <w:r w:rsidR="00E945BF" w:rsidRPr="000839BA">
        <w:t>CMP B-19 target at 50 yards</w:t>
      </w:r>
    </w:p>
    <w:p w:rsidR="00E945BF" w:rsidRPr="000839BA" w:rsidRDefault="00E945B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2 = prone rapid fire, two strings of 5 shots in 30</w:t>
      </w:r>
      <w:r w:rsidR="0090244F" w:rsidRPr="000839BA">
        <w:t>/25</w:t>
      </w:r>
      <w:r w:rsidRPr="000839BA">
        <w:t xml:space="preserve"> </w:t>
      </w:r>
      <w:r w:rsidR="00874EC4">
        <w:t xml:space="preserve">(bolt/semi) seconds.  </w:t>
      </w:r>
      <w:r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3</w:t>
      </w:r>
      <w:r w:rsidR="00E945BF" w:rsidRPr="000839BA">
        <w:t xml:space="preserve"> = sitting or kneeling slo</w:t>
      </w:r>
      <w:r w:rsidR="00874EC4">
        <w:t xml:space="preserve">w fire, 10 shots in 10 minutes.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4</w:t>
      </w:r>
      <w:r w:rsidR="00E945BF" w:rsidRPr="000839BA">
        <w:t xml:space="preserve"> = sitting or kneeling rapid fire, two strings of 5 shots in 30</w:t>
      </w:r>
      <w:r w:rsidR="0090244F" w:rsidRPr="000839BA">
        <w:t>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50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</w:pPr>
      <w:r w:rsidRPr="000839BA">
        <w:t>Stage 5</w:t>
      </w:r>
      <w:r w:rsidR="00E945BF" w:rsidRPr="000839BA">
        <w:t xml:space="preserve"> = standing slo</w:t>
      </w:r>
      <w:r w:rsidR="00874EC4">
        <w:t xml:space="preserve">w fire, 10 shots in 10 minutes.  </w:t>
      </w:r>
      <w:r w:rsidR="00E945BF" w:rsidRPr="000839BA">
        <w:t>CMP B-19 target at 25 yards</w:t>
      </w:r>
    </w:p>
    <w:p w:rsidR="00E945BF" w:rsidRPr="000839BA" w:rsidRDefault="00DE6D5F" w:rsidP="00C40220">
      <w:pPr>
        <w:tabs>
          <w:tab w:val="left" w:pos="-270"/>
          <w:tab w:val="left" w:pos="360"/>
        </w:tabs>
        <w:spacing w:line="240" w:lineRule="auto"/>
        <w:contextualSpacing/>
        <w:rPr>
          <w:sz w:val="24"/>
          <w:szCs w:val="24"/>
        </w:rPr>
      </w:pPr>
      <w:r w:rsidRPr="000839BA">
        <w:t>Stage 6</w:t>
      </w:r>
      <w:r w:rsidR="00E945BF" w:rsidRPr="000839BA">
        <w:t xml:space="preserve"> = standing rapid fire, two strings of 5 shots in 3</w:t>
      </w:r>
      <w:r w:rsidR="0090244F" w:rsidRPr="000839BA">
        <w:t>0/25</w:t>
      </w:r>
      <w:r w:rsidR="00E945BF" w:rsidRPr="000839BA">
        <w:t xml:space="preserve"> </w:t>
      </w:r>
      <w:r w:rsidR="00874EC4">
        <w:t xml:space="preserve">(bolt/semi) seconds.  </w:t>
      </w:r>
      <w:r w:rsidR="00E945BF" w:rsidRPr="000839BA">
        <w:t>CMP B-19 target at 25 yards</w:t>
      </w:r>
    </w:p>
    <w:sectPr w:rsidR="00E945BF" w:rsidRPr="000839BA" w:rsidSect="000B0B4E">
      <w:headerReference w:type="default" r:id="rId8"/>
      <w:pgSz w:w="15840" w:h="12240" w:orient="landscape"/>
      <w:pgMar w:top="495" w:right="630" w:bottom="1440" w:left="72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0D" w:rsidRDefault="008B680D" w:rsidP="00B01B4C">
      <w:pPr>
        <w:spacing w:after="0" w:line="240" w:lineRule="auto"/>
      </w:pPr>
      <w:r>
        <w:separator/>
      </w:r>
    </w:p>
  </w:endnote>
  <w:endnote w:type="continuationSeparator" w:id="0">
    <w:p w:rsidR="008B680D" w:rsidRDefault="008B680D" w:rsidP="00B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0D" w:rsidRDefault="008B680D" w:rsidP="00B01B4C">
      <w:pPr>
        <w:spacing w:after="0" w:line="240" w:lineRule="auto"/>
      </w:pPr>
      <w:r>
        <w:separator/>
      </w:r>
    </w:p>
  </w:footnote>
  <w:footnote w:type="continuationSeparator" w:id="0">
    <w:p w:rsidR="008B680D" w:rsidRDefault="008B680D" w:rsidP="00B0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B7" w:rsidRPr="00BF513F" w:rsidRDefault="000E602F" w:rsidP="003E6CB7">
    <w:pPr>
      <w:pStyle w:val="NoSpacing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AB565B">
      <w:rPr>
        <w:b/>
        <w:bCs/>
        <w:sz w:val="24"/>
        <w:szCs w:val="24"/>
      </w:rPr>
      <w:t xml:space="preserve">Sanner’s Lake </w:t>
    </w:r>
    <w:r w:rsidR="003E6CB7" w:rsidRPr="00BF513F">
      <w:rPr>
        <w:b/>
        <w:bCs/>
        <w:sz w:val="24"/>
        <w:szCs w:val="24"/>
      </w:rPr>
      <w:t>Rimfire Sporter Match Report</w:t>
    </w:r>
  </w:p>
  <w:p w:rsidR="00B01B4C" w:rsidRDefault="001A53E9" w:rsidP="003E6CB7">
    <w:pPr>
      <w:pStyle w:val="Header"/>
      <w:tabs>
        <w:tab w:val="clear" w:pos="4680"/>
        <w:tab w:val="clear" w:pos="9360"/>
        <w:tab w:val="left" w:pos="4815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September 9</w:t>
    </w:r>
    <w:r w:rsidR="00D4170D" w:rsidRPr="00D4170D">
      <w:rPr>
        <w:b/>
        <w:bCs/>
        <w:sz w:val="24"/>
        <w:szCs w:val="24"/>
        <w:vertAlign w:val="superscript"/>
      </w:rPr>
      <w:t>th</w:t>
    </w:r>
    <w:r w:rsidR="00D4170D">
      <w:rPr>
        <w:b/>
        <w:bCs/>
        <w:sz w:val="24"/>
        <w:szCs w:val="24"/>
      </w:rPr>
      <w:t>,</w:t>
    </w:r>
    <w:r w:rsidR="000918B7">
      <w:rPr>
        <w:b/>
        <w:bCs/>
        <w:sz w:val="24"/>
        <w:szCs w:val="24"/>
      </w:rPr>
      <w:t xml:space="preserve"> 202</w:t>
    </w:r>
    <w:r w:rsidR="00466EEC">
      <w:rPr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6676"/>
    <w:rsid w:val="00017A53"/>
    <w:rsid w:val="00024066"/>
    <w:rsid w:val="000256FB"/>
    <w:rsid w:val="00046F62"/>
    <w:rsid w:val="00057972"/>
    <w:rsid w:val="00066187"/>
    <w:rsid w:val="000741DD"/>
    <w:rsid w:val="000839BA"/>
    <w:rsid w:val="00083FC9"/>
    <w:rsid w:val="00086124"/>
    <w:rsid w:val="0009082E"/>
    <w:rsid w:val="000918B7"/>
    <w:rsid w:val="000A3197"/>
    <w:rsid w:val="000A38DC"/>
    <w:rsid w:val="000A481A"/>
    <w:rsid w:val="000B0B4E"/>
    <w:rsid w:val="000D2BF8"/>
    <w:rsid w:val="000D41D7"/>
    <w:rsid w:val="000E4728"/>
    <w:rsid w:val="000E602F"/>
    <w:rsid w:val="000F6A2F"/>
    <w:rsid w:val="000F7AFF"/>
    <w:rsid w:val="00104490"/>
    <w:rsid w:val="00107778"/>
    <w:rsid w:val="0011196A"/>
    <w:rsid w:val="0012116D"/>
    <w:rsid w:val="00130C10"/>
    <w:rsid w:val="00130F8B"/>
    <w:rsid w:val="001414CF"/>
    <w:rsid w:val="0014603E"/>
    <w:rsid w:val="00151CB7"/>
    <w:rsid w:val="00156AEE"/>
    <w:rsid w:val="0015780F"/>
    <w:rsid w:val="00157942"/>
    <w:rsid w:val="00164DD3"/>
    <w:rsid w:val="0017571E"/>
    <w:rsid w:val="00183DC9"/>
    <w:rsid w:val="001A0DCD"/>
    <w:rsid w:val="001A1901"/>
    <w:rsid w:val="001A53E9"/>
    <w:rsid w:val="001A7EDE"/>
    <w:rsid w:val="001B0BDC"/>
    <w:rsid w:val="001B17B6"/>
    <w:rsid w:val="001B1C6D"/>
    <w:rsid w:val="001B20D7"/>
    <w:rsid w:val="001C5C5B"/>
    <w:rsid w:val="001C63FD"/>
    <w:rsid w:val="001D6459"/>
    <w:rsid w:val="001E2963"/>
    <w:rsid w:val="001E31B3"/>
    <w:rsid w:val="001F7EDF"/>
    <w:rsid w:val="002030BF"/>
    <w:rsid w:val="00211923"/>
    <w:rsid w:val="00220194"/>
    <w:rsid w:val="00232822"/>
    <w:rsid w:val="00233425"/>
    <w:rsid w:val="0023519F"/>
    <w:rsid w:val="00236FDF"/>
    <w:rsid w:val="00256074"/>
    <w:rsid w:val="0026013F"/>
    <w:rsid w:val="002614B1"/>
    <w:rsid w:val="00264D2C"/>
    <w:rsid w:val="00264F46"/>
    <w:rsid w:val="00272CC8"/>
    <w:rsid w:val="00286204"/>
    <w:rsid w:val="00290400"/>
    <w:rsid w:val="00293E83"/>
    <w:rsid w:val="002A5C7A"/>
    <w:rsid w:val="002A5EFC"/>
    <w:rsid w:val="002B04BA"/>
    <w:rsid w:val="002B0AA1"/>
    <w:rsid w:val="002C0386"/>
    <w:rsid w:val="002C1F32"/>
    <w:rsid w:val="002C48DF"/>
    <w:rsid w:val="002E60E7"/>
    <w:rsid w:val="002E7C43"/>
    <w:rsid w:val="002F1C40"/>
    <w:rsid w:val="002F3DBD"/>
    <w:rsid w:val="00305546"/>
    <w:rsid w:val="003125EF"/>
    <w:rsid w:val="00314133"/>
    <w:rsid w:val="003239BF"/>
    <w:rsid w:val="00323D85"/>
    <w:rsid w:val="003278DD"/>
    <w:rsid w:val="00331AF6"/>
    <w:rsid w:val="00331C60"/>
    <w:rsid w:val="003365FB"/>
    <w:rsid w:val="00357DFF"/>
    <w:rsid w:val="00380249"/>
    <w:rsid w:val="00383DE9"/>
    <w:rsid w:val="0038476F"/>
    <w:rsid w:val="00395E5D"/>
    <w:rsid w:val="003A0DCF"/>
    <w:rsid w:val="003A7AD6"/>
    <w:rsid w:val="003C18DA"/>
    <w:rsid w:val="003C3DFB"/>
    <w:rsid w:val="003C41F6"/>
    <w:rsid w:val="003E0347"/>
    <w:rsid w:val="003E5801"/>
    <w:rsid w:val="003E6CB7"/>
    <w:rsid w:val="003F1D93"/>
    <w:rsid w:val="003F7101"/>
    <w:rsid w:val="00403326"/>
    <w:rsid w:val="00405B09"/>
    <w:rsid w:val="00411410"/>
    <w:rsid w:val="00414438"/>
    <w:rsid w:val="004147E0"/>
    <w:rsid w:val="00415946"/>
    <w:rsid w:val="004273C1"/>
    <w:rsid w:val="00430DF8"/>
    <w:rsid w:val="004406E8"/>
    <w:rsid w:val="00445DF1"/>
    <w:rsid w:val="004567B5"/>
    <w:rsid w:val="00466EEC"/>
    <w:rsid w:val="0047710A"/>
    <w:rsid w:val="00491BD8"/>
    <w:rsid w:val="004A0225"/>
    <w:rsid w:val="004A4323"/>
    <w:rsid w:val="004B0129"/>
    <w:rsid w:val="004B2CEC"/>
    <w:rsid w:val="004B32F6"/>
    <w:rsid w:val="004B330B"/>
    <w:rsid w:val="004C4C73"/>
    <w:rsid w:val="004D766C"/>
    <w:rsid w:val="004D7FA8"/>
    <w:rsid w:val="004E09F5"/>
    <w:rsid w:val="004E70F1"/>
    <w:rsid w:val="004F2C7E"/>
    <w:rsid w:val="004F2C96"/>
    <w:rsid w:val="004F3B19"/>
    <w:rsid w:val="00502513"/>
    <w:rsid w:val="00503B1F"/>
    <w:rsid w:val="005040F6"/>
    <w:rsid w:val="00505BF5"/>
    <w:rsid w:val="005253AC"/>
    <w:rsid w:val="00527D2E"/>
    <w:rsid w:val="005326CD"/>
    <w:rsid w:val="005333B8"/>
    <w:rsid w:val="00541948"/>
    <w:rsid w:val="005441A2"/>
    <w:rsid w:val="00544837"/>
    <w:rsid w:val="005726AE"/>
    <w:rsid w:val="00575AE4"/>
    <w:rsid w:val="0057669B"/>
    <w:rsid w:val="005810F7"/>
    <w:rsid w:val="0058334B"/>
    <w:rsid w:val="0058737E"/>
    <w:rsid w:val="00595168"/>
    <w:rsid w:val="00595428"/>
    <w:rsid w:val="005B11D6"/>
    <w:rsid w:val="005E1433"/>
    <w:rsid w:val="005E6538"/>
    <w:rsid w:val="005F4B02"/>
    <w:rsid w:val="005F529C"/>
    <w:rsid w:val="00604DE3"/>
    <w:rsid w:val="00617AA0"/>
    <w:rsid w:val="00645357"/>
    <w:rsid w:val="00647086"/>
    <w:rsid w:val="006477DC"/>
    <w:rsid w:val="0065392D"/>
    <w:rsid w:val="006559B1"/>
    <w:rsid w:val="00656D4B"/>
    <w:rsid w:val="00661964"/>
    <w:rsid w:val="00670A11"/>
    <w:rsid w:val="0067346E"/>
    <w:rsid w:val="006755D7"/>
    <w:rsid w:val="0067733E"/>
    <w:rsid w:val="00681288"/>
    <w:rsid w:val="00687DC5"/>
    <w:rsid w:val="00694BD7"/>
    <w:rsid w:val="00696829"/>
    <w:rsid w:val="006A71D2"/>
    <w:rsid w:val="006A72E7"/>
    <w:rsid w:val="006B5946"/>
    <w:rsid w:val="006C2495"/>
    <w:rsid w:val="006C3CBE"/>
    <w:rsid w:val="006C6ED5"/>
    <w:rsid w:val="006D38AA"/>
    <w:rsid w:val="006D3952"/>
    <w:rsid w:val="006D7842"/>
    <w:rsid w:val="006E4B80"/>
    <w:rsid w:val="006E6DB3"/>
    <w:rsid w:val="006F366C"/>
    <w:rsid w:val="006F670B"/>
    <w:rsid w:val="00700536"/>
    <w:rsid w:val="007033BB"/>
    <w:rsid w:val="00703C5D"/>
    <w:rsid w:val="00706A08"/>
    <w:rsid w:val="00711421"/>
    <w:rsid w:val="0072300D"/>
    <w:rsid w:val="007342F5"/>
    <w:rsid w:val="007406CF"/>
    <w:rsid w:val="00766DA5"/>
    <w:rsid w:val="00771953"/>
    <w:rsid w:val="0077707A"/>
    <w:rsid w:val="00780A1C"/>
    <w:rsid w:val="00795446"/>
    <w:rsid w:val="0079794B"/>
    <w:rsid w:val="00797B31"/>
    <w:rsid w:val="007B2375"/>
    <w:rsid w:val="007B6FA3"/>
    <w:rsid w:val="007C563D"/>
    <w:rsid w:val="007D08EA"/>
    <w:rsid w:val="007E1D8C"/>
    <w:rsid w:val="007F2261"/>
    <w:rsid w:val="007F34AD"/>
    <w:rsid w:val="007F7AB6"/>
    <w:rsid w:val="00800C56"/>
    <w:rsid w:val="008042C2"/>
    <w:rsid w:val="00806C09"/>
    <w:rsid w:val="00811526"/>
    <w:rsid w:val="00816BEC"/>
    <w:rsid w:val="00821A7D"/>
    <w:rsid w:val="008316C2"/>
    <w:rsid w:val="00832651"/>
    <w:rsid w:val="008468EB"/>
    <w:rsid w:val="0085167B"/>
    <w:rsid w:val="00855B2E"/>
    <w:rsid w:val="00873650"/>
    <w:rsid w:val="00873A58"/>
    <w:rsid w:val="00874EC4"/>
    <w:rsid w:val="008A79A0"/>
    <w:rsid w:val="008B0A68"/>
    <w:rsid w:val="008B680D"/>
    <w:rsid w:val="008C008A"/>
    <w:rsid w:val="008C7434"/>
    <w:rsid w:val="008C79EB"/>
    <w:rsid w:val="008D2139"/>
    <w:rsid w:val="008E17EA"/>
    <w:rsid w:val="008E29FB"/>
    <w:rsid w:val="008E5675"/>
    <w:rsid w:val="008F29B7"/>
    <w:rsid w:val="008F5C8B"/>
    <w:rsid w:val="00900765"/>
    <w:rsid w:val="0090244F"/>
    <w:rsid w:val="00905FBD"/>
    <w:rsid w:val="00914A01"/>
    <w:rsid w:val="00923B67"/>
    <w:rsid w:val="00927532"/>
    <w:rsid w:val="00932532"/>
    <w:rsid w:val="00932F20"/>
    <w:rsid w:val="00933494"/>
    <w:rsid w:val="00933F52"/>
    <w:rsid w:val="00943D66"/>
    <w:rsid w:val="00944F9D"/>
    <w:rsid w:val="00962671"/>
    <w:rsid w:val="00970CA0"/>
    <w:rsid w:val="009747F2"/>
    <w:rsid w:val="009761D1"/>
    <w:rsid w:val="009813A4"/>
    <w:rsid w:val="009814B9"/>
    <w:rsid w:val="00990530"/>
    <w:rsid w:val="00994568"/>
    <w:rsid w:val="009959E4"/>
    <w:rsid w:val="00995C99"/>
    <w:rsid w:val="0099798C"/>
    <w:rsid w:val="009B44AB"/>
    <w:rsid w:val="009C2CF9"/>
    <w:rsid w:val="009E3DE9"/>
    <w:rsid w:val="00A02090"/>
    <w:rsid w:val="00A02666"/>
    <w:rsid w:val="00A31424"/>
    <w:rsid w:val="00A3266F"/>
    <w:rsid w:val="00A41F65"/>
    <w:rsid w:val="00A47217"/>
    <w:rsid w:val="00A52B05"/>
    <w:rsid w:val="00A673F0"/>
    <w:rsid w:val="00A91DD4"/>
    <w:rsid w:val="00AB222C"/>
    <w:rsid w:val="00AB3B37"/>
    <w:rsid w:val="00AB565B"/>
    <w:rsid w:val="00AB7B12"/>
    <w:rsid w:val="00AD5229"/>
    <w:rsid w:val="00AD669A"/>
    <w:rsid w:val="00AE29D8"/>
    <w:rsid w:val="00AE7635"/>
    <w:rsid w:val="00AF6617"/>
    <w:rsid w:val="00B01B4C"/>
    <w:rsid w:val="00B10556"/>
    <w:rsid w:val="00B109D4"/>
    <w:rsid w:val="00B12892"/>
    <w:rsid w:val="00B12DBC"/>
    <w:rsid w:val="00B256EC"/>
    <w:rsid w:val="00B373F2"/>
    <w:rsid w:val="00B4298F"/>
    <w:rsid w:val="00B44FF8"/>
    <w:rsid w:val="00B513D8"/>
    <w:rsid w:val="00B5190F"/>
    <w:rsid w:val="00B6033A"/>
    <w:rsid w:val="00B61678"/>
    <w:rsid w:val="00B640AA"/>
    <w:rsid w:val="00B64EF4"/>
    <w:rsid w:val="00B72F47"/>
    <w:rsid w:val="00B96D21"/>
    <w:rsid w:val="00BA0108"/>
    <w:rsid w:val="00BA164C"/>
    <w:rsid w:val="00BA6D56"/>
    <w:rsid w:val="00BD1B87"/>
    <w:rsid w:val="00BD6D72"/>
    <w:rsid w:val="00BE02EE"/>
    <w:rsid w:val="00BF393B"/>
    <w:rsid w:val="00BF513F"/>
    <w:rsid w:val="00C009FF"/>
    <w:rsid w:val="00C0382E"/>
    <w:rsid w:val="00C05699"/>
    <w:rsid w:val="00C07375"/>
    <w:rsid w:val="00C267CD"/>
    <w:rsid w:val="00C26E1A"/>
    <w:rsid w:val="00C40220"/>
    <w:rsid w:val="00C42E3E"/>
    <w:rsid w:val="00C4312B"/>
    <w:rsid w:val="00C43F88"/>
    <w:rsid w:val="00C525A9"/>
    <w:rsid w:val="00C555AC"/>
    <w:rsid w:val="00C5704E"/>
    <w:rsid w:val="00C711C2"/>
    <w:rsid w:val="00C7322F"/>
    <w:rsid w:val="00C80076"/>
    <w:rsid w:val="00C815B6"/>
    <w:rsid w:val="00C83DC6"/>
    <w:rsid w:val="00C937BF"/>
    <w:rsid w:val="00CA577B"/>
    <w:rsid w:val="00CA68A0"/>
    <w:rsid w:val="00CA7A3D"/>
    <w:rsid w:val="00CB6BCD"/>
    <w:rsid w:val="00CC1CED"/>
    <w:rsid w:val="00CD4B4E"/>
    <w:rsid w:val="00CD5494"/>
    <w:rsid w:val="00CE32C3"/>
    <w:rsid w:val="00CE39A0"/>
    <w:rsid w:val="00CF257A"/>
    <w:rsid w:val="00CF4DCD"/>
    <w:rsid w:val="00CF6E53"/>
    <w:rsid w:val="00D06F24"/>
    <w:rsid w:val="00D07B04"/>
    <w:rsid w:val="00D10055"/>
    <w:rsid w:val="00D136C6"/>
    <w:rsid w:val="00D272B1"/>
    <w:rsid w:val="00D4170D"/>
    <w:rsid w:val="00D866EC"/>
    <w:rsid w:val="00DA0D0C"/>
    <w:rsid w:val="00DA2B26"/>
    <w:rsid w:val="00DA3349"/>
    <w:rsid w:val="00DD2B94"/>
    <w:rsid w:val="00DD57D3"/>
    <w:rsid w:val="00DE6D5F"/>
    <w:rsid w:val="00DE7B1A"/>
    <w:rsid w:val="00DF5C37"/>
    <w:rsid w:val="00DF6E1C"/>
    <w:rsid w:val="00E06390"/>
    <w:rsid w:val="00E0644B"/>
    <w:rsid w:val="00E131F9"/>
    <w:rsid w:val="00E13EB7"/>
    <w:rsid w:val="00E2553C"/>
    <w:rsid w:val="00E25B10"/>
    <w:rsid w:val="00E27FD3"/>
    <w:rsid w:val="00E4637B"/>
    <w:rsid w:val="00E60B16"/>
    <w:rsid w:val="00E67104"/>
    <w:rsid w:val="00E706F4"/>
    <w:rsid w:val="00E808FF"/>
    <w:rsid w:val="00E8338E"/>
    <w:rsid w:val="00E945BF"/>
    <w:rsid w:val="00E979D3"/>
    <w:rsid w:val="00EA00A0"/>
    <w:rsid w:val="00EA129C"/>
    <w:rsid w:val="00EA25C2"/>
    <w:rsid w:val="00EB504E"/>
    <w:rsid w:val="00EC07D4"/>
    <w:rsid w:val="00EC381B"/>
    <w:rsid w:val="00EC610C"/>
    <w:rsid w:val="00ED23BE"/>
    <w:rsid w:val="00ED30FF"/>
    <w:rsid w:val="00ED5894"/>
    <w:rsid w:val="00EF27C3"/>
    <w:rsid w:val="00EF2E14"/>
    <w:rsid w:val="00EF2E23"/>
    <w:rsid w:val="00EF5A79"/>
    <w:rsid w:val="00F003C3"/>
    <w:rsid w:val="00F02E30"/>
    <w:rsid w:val="00F03847"/>
    <w:rsid w:val="00F14787"/>
    <w:rsid w:val="00F21DE4"/>
    <w:rsid w:val="00F24078"/>
    <w:rsid w:val="00F256D6"/>
    <w:rsid w:val="00F31756"/>
    <w:rsid w:val="00F44E90"/>
    <w:rsid w:val="00F509E2"/>
    <w:rsid w:val="00F5767A"/>
    <w:rsid w:val="00F61E5A"/>
    <w:rsid w:val="00F71568"/>
    <w:rsid w:val="00F770A5"/>
    <w:rsid w:val="00F81B67"/>
    <w:rsid w:val="00F90140"/>
    <w:rsid w:val="00F90FAC"/>
    <w:rsid w:val="00F91BBE"/>
    <w:rsid w:val="00F94E50"/>
    <w:rsid w:val="00F9695F"/>
    <w:rsid w:val="00FA0983"/>
    <w:rsid w:val="00FA111E"/>
    <w:rsid w:val="00FA7370"/>
    <w:rsid w:val="00FB51A1"/>
    <w:rsid w:val="00FB7F41"/>
    <w:rsid w:val="00FC40AA"/>
    <w:rsid w:val="00FD4280"/>
    <w:rsid w:val="00FF1193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C"/>
  </w:style>
  <w:style w:type="paragraph" w:styleId="Footer">
    <w:name w:val="footer"/>
    <w:basedOn w:val="Normal"/>
    <w:link w:val="FooterChar"/>
    <w:uiPriority w:val="99"/>
    <w:unhideWhenUsed/>
    <w:rsid w:val="00B0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5F70-E240-469C-A1A6-D53A4B50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439</Words>
  <Characters>1781</Characters>
  <Application>Microsoft Office Word</Application>
  <DocSecurity>0</DocSecurity>
  <Lines>222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8</cp:revision>
  <dcterms:created xsi:type="dcterms:W3CDTF">2023-09-11T03:23:00Z</dcterms:created>
  <dcterms:modified xsi:type="dcterms:W3CDTF">2023-09-11T16:02:00Z</dcterms:modified>
</cp:coreProperties>
</file>